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bidi w:val="0"/>
        <w:jc w:val="left"/>
        <w:rPr>
          <w:color w:val="000000"/>
        </w:rPr>
      </w:pPr>
      <w:r>
        <w:rPr>
          <w:color w:val="000000"/>
        </w:rPr>
      </w:r>
    </w:p>
    <w:p>
      <w:pPr>
        <w:pStyle w:val="Default"/>
        <w:bidi w:val="0"/>
        <w:jc w:val="left"/>
        <w:rPr>
          <w:b w:val="false"/>
          <w:strike w:val="false"/>
          <w:dstrike w:val="false"/>
          <w:color w:val="000000"/>
          <w:sz w:val="22"/>
          <w:u w:val="none"/>
        </w:rPr>
      </w:pPr>
      <w:r>
        <w:rPr>
          <w:color w:val="000000"/>
        </w:rPr>
        <w:t xml:space="preserve"> </w:t>
      </w:r>
      <w:r>
        <w:rPr>
          <w:color w:val="000000"/>
        </w:rPr>
        <w:tab/>
        <w:tab/>
        <w:tab/>
        <w:tab/>
        <w:tab/>
        <w:tab/>
        <w:tab/>
        <w:tab/>
        <w:tab/>
        <w:tab/>
        <w:tab/>
      </w:r>
      <w:r>
        <w:rPr>
          <w:b/>
          <w:color w:val="000000"/>
          <w:sz w:val="22"/>
        </w:rPr>
        <w:t>Załącznik nr 5</w:t>
      </w:r>
    </w:p>
    <w:p>
      <w:pPr>
        <w:pStyle w:val="Default"/>
        <w:bidi w:val="0"/>
        <w:jc w:val="left"/>
        <w:rPr>
          <w:b w:val="false"/>
          <w:strike w:val="false"/>
          <w:dstrike w:val="false"/>
          <w:color w:val="000000"/>
          <w:sz w:val="22"/>
          <w:u w:val="none"/>
        </w:rPr>
      </w:pPr>
      <w:r>
        <w:rPr/>
      </w:r>
    </w:p>
    <w:p>
      <w:pPr>
        <w:pStyle w:val="Default"/>
        <w:bidi w:val="0"/>
        <w:jc w:val="left"/>
        <w:rPr>
          <w:b w:val="false"/>
          <w:strike w:val="false"/>
          <w:dstrike w:val="false"/>
          <w:color w:val="000000"/>
          <w:sz w:val="22"/>
          <w:u w:val="none"/>
        </w:rPr>
      </w:pPr>
      <w:r>
        <w:rPr/>
      </w:r>
    </w:p>
    <w:p>
      <w:pPr>
        <w:pStyle w:val="Default"/>
        <w:bidi w:val="0"/>
        <w:jc w:val="left"/>
        <w:rPr>
          <w:b w:val="false"/>
          <w:strike w:val="false"/>
          <w:dstrike w:val="false"/>
          <w:color w:val="000000"/>
          <w:sz w:val="22"/>
          <w:u w:val="none"/>
        </w:rPr>
      </w:pPr>
      <w:r>
        <w:rPr/>
      </w:r>
    </w:p>
    <w:p>
      <w:pPr>
        <w:pStyle w:val="Default"/>
        <w:bidi w:val="0"/>
        <w:jc w:val="center"/>
        <w:rPr>
          <w:b w:val="false"/>
          <w:strike w:val="false"/>
          <w:dstrike w:val="false"/>
          <w:color w:val="000000"/>
          <w:sz w:val="22"/>
          <w:u w:val="none"/>
        </w:rPr>
      </w:pPr>
      <w:r>
        <w:rPr>
          <w:b/>
          <w:strike w:val="false"/>
          <w:dstrike w:val="false"/>
          <w:color w:val="000000"/>
          <w:sz w:val="32"/>
          <w:szCs w:val="32"/>
          <w:u w:val="none"/>
        </w:rPr>
        <w:t xml:space="preserve">Umowa powierzenia przetwarzania danych osobowych </w:t>
      </w:r>
    </w:p>
    <w:p>
      <w:pPr>
        <w:pStyle w:val="Default"/>
        <w:bidi w:val="0"/>
        <w:jc w:val="left"/>
        <w:rPr>
          <w:b w:val="false"/>
          <w:strike w:val="false"/>
          <w:dstrike w:val="false"/>
          <w:color w:val="000000"/>
          <w:sz w:val="22"/>
          <w:u w:val="none"/>
        </w:rPr>
      </w:pPr>
      <w:r>
        <w:rPr/>
      </w:r>
    </w:p>
    <w:p>
      <w:pPr>
        <w:pStyle w:val="Default"/>
        <w:bidi w:val="0"/>
        <w:jc w:val="left"/>
        <w:rPr>
          <w:b w:val="false"/>
          <w:strike w:val="false"/>
          <w:dstrike w:val="false"/>
          <w:color w:val="000000"/>
          <w:sz w:val="22"/>
          <w:u w:val="none"/>
        </w:rPr>
      </w:pPr>
      <w:r>
        <w:rPr/>
      </w:r>
    </w:p>
    <w:p>
      <w:pPr>
        <w:pStyle w:val="Default"/>
        <w:bidi w:val="0"/>
        <w:jc w:val="left"/>
        <w:rPr>
          <w:b w:val="false"/>
          <w:strike w:val="false"/>
          <w:dstrike w:val="false"/>
          <w:color w:val="000000"/>
          <w:sz w:val="22"/>
          <w:u w:val="none"/>
        </w:rPr>
      </w:pPr>
      <w:r>
        <w:rPr>
          <w:b w:val="false"/>
          <w:strike w:val="false"/>
          <w:dstrike w:val="false"/>
          <w:color w:val="000000"/>
          <w:sz w:val="22"/>
          <w:u w:val="none"/>
        </w:rPr>
        <w:t xml:space="preserve">zawarta dnia _______  pomiędzy: </w:t>
      </w:r>
    </w:p>
    <w:p>
      <w:pPr>
        <w:pStyle w:val="Default"/>
        <w:bidi w:val="0"/>
        <w:jc w:val="left"/>
        <w:rPr>
          <w:b w:val="false"/>
          <w:strike w:val="false"/>
          <w:dstrike w:val="false"/>
          <w:color w:val="000000"/>
          <w:sz w:val="22"/>
          <w:u w:val="none"/>
        </w:rPr>
      </w:pPr>
      <w:r>
        <w:rPr>
          <w:b/>
          <w:bCs/>
          <w:strike w:val="false"/>
          <w:dstrike w:val="false"/>
          <w:color w:val="000000"/>
          <w:sz w:val="22"/>
          <w:u w:val="none"/>
        </w:rPr>
        <w:t xml:space="preserve">Net Solution Piotr Kaube, ul. Moniuszki 19, 64-100 Leszno, NIP: 6971006267, REGON: </w:t>
      </w:r>
      <w:r>
        <w:rPr>
          <w:rStyle w:val="Emphasis"/>
          <w:b/>
          <w:bCs/>
          <w:i w:val="false"/>
          <w:iCs w:val="false"/>
          <w:strike w:val="false"/>
          <w:dstrike w:val="false"/>
          <w:color w:val="000000"/>
          <w:sz w:val="22"/>
          <w:u w:val="none"/>
        </w:rPr>
        <w:t>410190256</w:t>
      </w:r>
      <w:r>
        <w:rPr>
          <w:b/>
          <w:bCs/>
          <w:strike w:val="false"/>
          <w:dstrike w:val="false"/>
          <w:color w:val="000000"/>
          <w:sz w:val="22"/>
          <w:u w:val="none"/>
        </w:rPr>
        <w:t xml:space="preserve"> </w:t>
      </w:r>
      <w:r>
        <w:rPr>
          <w:b w:val="false"/>
          <w:strike w:val="false"/>
          <w:dstrike w:val="false"/>
          <w:color w:val="000000"/>
          <w:sz w:val="22"/>
          <w:u w:val="none"/>
        </w:rPr>
        <w:t>, zwanym dalej „</w:t>
      </w:r>
      <w:r>
        <w:rPr>
          <w:b/>
          <w:bCs/>
          <w:strike w:val="false"/>
          <w:dstrike w:val="false"/>
          <w:color w:val="000000"/>
          <w:sz w:val="22"/>
          <w:u w:val="none"/>
        </w:rPr>
        <w:t>Administratorem danych</w:t>
      </w:r>
      <w:r>
        <w:rPr>
          <w:b w:val="false"/>
          <w:strike w:val="false"/>
          <w:dstrike w:val="false"/>
          <w:color w:val="000000"/>
          <w:sz w:val="22"/>
          <w:u w:val="none"/>
        </w:rPr>
        <w:t xml:space="preserve">”, reprezentowanym przez _______; </w:t>
      </w:r>
    </w:p>
    <w:p>
      <w:pPr>
        <w:pStyle w:val="Default"/>
        <w:bidi w:val="0"/>
        <w:jc w:val="left"/>
        <w:rPr>
          <w:b w:val="false"/>
          <w:strike w:val="false"/>
          <w:dstrike w:val="false"/>
          <w:color w:val="000000"/>
          <w:sz w:val="22"/>
          <w:u w:val="none"/>
        </w:rPr>
      </w:pPr>
      <w:r>
        <w:rPr>
          <w:b w:val="false"/>
          <w:strike w:val="false"/>
          <w:dstrike w:val="false"/>
          <w:color w:val="000000"/>
          <w:sz w:val="22"/>
          <w:u w:val="none"/>
        </w:rPr>
        <w:t xml:space="preserve">a </w:t>
      </w:r>
    </w:p>
    <w:p>
      <w:pPr>
        <w:pStyle w:val="Default"/>
        <w:bidi w:val="0"/>
        <w:jc w:val="left"/>
        <w:rPr>
          <w:b w:val="false"/>
          <w:strike w:val="false"/>
          <w:dstrike w:val="false"/>
          <w:color w:val="000000"/>
          <w:sz w:val="22"/>
          <w:u w:val="none"/>
        </w:rPr>
      </w:pPr>
      <w:r>
        <w:rPr>
          <w:b w:val="false"/>
          <w:strike w:val="false"/>
          <w:dstrike w:val="false"/>
          <w:color w:val="000000"/>
          <w:sz w:val="22"/>
          <w:u w:val="none"/>
        </w:rPr>
        <w:t xml:space="preserve">_______, zwanym dalej „Podmiotem przetwarzającym” reprezentowanym przez _______; </w:t>
      </w:r>
    </w:p>
    <w:p>
      <w:pPr>
        <w:pStyle w:val="Default"/>
        <w:bidi w:val="0"/>
        <w:jc w:val="left"/>
        <w:rPr>
          <w:b w:val="false"/>
          <w:strike w:val="false"/>
          <w:dstrike w:val="false"/>
          <w:color w:val="000000"/>
          <w:sz w:val="22"/>
          <w:u w:val="none"/>
        </w:rPr>
      </w:pPr>
      <w:r>
        <w:rPr>
          <w:b w:val="false"/>
          <w:strike w:val="false"/>
          <w:dstrike w:val="false"/>
          <w:color w:val="000000"/>
          <w:sz w:val="22"/>
          <w:u w:val="none"/>
        </w:rPr>
        <w:t xml:space="preserve">zwanymi dalej łącznie „Stronami” lub odpowiednio „Stroną”. </w:t>
      </w:r>
    </w:p>
    <w:p>
      <w:pPr>
        <w:pStyle w:val="Default"/>
        <w:bidi w:val="0"/>
        <w:jc w:val="center"/>
        <w:rPr>
          <w:b w:val="false"/>
          <w:strike w:val="false"/>
          <w:dstrike w:val="false"/>
          <w:color w:val="000000"/>
          <w:sz w:val="22"/>
          <w:u w:val="none"/>
        </w:rPr>
      </w:pPr>
      <w:r>
        <w:rPr/>
      </w:r>
    </w:p>
    <w:p>
      <w:pPr>
        <w:pStyle w:val="Default"/>
        <w:bidi w:val="0"/>
        <w:jc w:val="center"/>
        <w:rPr>
          <w:b w:val="false"/>
          <w:strike w:val="false"/>
          <w:dstrike w:val="false"/>
          <w:color w:val="000000"/>
          <w:sz w:val="22"/>
          <w:u w:val="none"/>
        </w:rPr>
      </w:pPr>
      <w:r>
        <w:rPr/>
      </w:r>
    </w:p>
    <w:p>
      <w:pPr>
        <w:pStyle w:val="Default"/>
        <w:bidi w:val="0"/>
        <w:jc w:val="center"/>
        <w:rPr>
          <w:b w:val="false"/>
          <w:strike w:val="false"/>
          <w:dstrike w:val="false"/>
          <w:color w:val="000000"/>
          <w:sz w:val="22"/>
          <w:u w:val="none"/>
        </w:rPr>
      </w:pPr>
      <w:r>
        <w:rPr>
          <w:b/>
          <w:strike w:val="false"/>
          <w:dstrike w:val="false"/>
          <w:color w:val="000000"/>
          <w:sz w:val="28"/>
          <w:szCs w:val="28"/>
          <w:u w:val="none"/>
        </w:rPr>
        <w:t xml:space="preserve">§ 1 Definicje </w:t>
      </w:r>
    </w:p>
    <w:p>
      <w:pPr>
        <w:pStyle w:val="Default"/>
        <w:bidi w:val="0"/>
        <w:jc w:val="both"/>
        <w:rPr>
          <w:b w:val="false"/>
          <w:strike w:val="false"/>
          <w:dstrike w:val="false"/>
          <w:color w:val="000000"/>
          <w:sz w:val="22"/>
          <w:u w:val="none"/>
        </w:rPr>
      </w:pPr>
      <w:r>
        <w:rPr>
          <w:b w:val="false"/>
          <w:strike w:val="false"/>
          <w:dstrike w:val="false"/>
          <w:color w:val="000000"/>
          <w:sz w:val="22"/>
          <w:u w:val="none"/>
        </w:rPr>
        <w:t xml:space="preserve">Dla potrzeb niniejszej umowy, Administrator danych i Podmiot przetwarzający ustalają następujące znaczenie niżej wymienionych pojęć: </w:t>
      </w:r>
    </w:p>
    <w:p>
      <w:pPr>
        <w:pStyle w:val="Default"/>
        <w:bidi w:val="0"/>
        <w:spacing w:before="0" w:after="62"/>
        <w:ind w:hanging="0" w:left="0"/>
        <w:jc w:val="both"/>
        <w:rPr>
          <w:b w:val="false"/>
          <w:strike w:val="false"/>
          <w:dstrike w:val="false"/>
          <w:color w:val="000000"/>
          <w:sz w:val="22"/>
          <w:u w:val="none"/>
        </w:rPr>
      </w:pPr>
      <w:r>
        <w:rPr>
          <w:b w:val="false"/>
          <w:strike w:val="false"/>
          <w:dstrike w:val="false"/>
          <w:color w:val="000000"/>
          <w:sz w:val="22"/>
          <w:u w:val="none"/>
        </w:rPr>
        <w:t xml:space="preserve">1. Umowa Powierzenia – niniejsza umowa, </w:t>
      </w:r>
    </w:p>
    <w:p>
      <w:pPr>
        <w:pStyle w:val="Default"/>
        <w:bidi w:val="0"/>
        <w:spacing w:before="0" w:after="62"/>
        <w:ind w:hanging="0" w:left="0"/>
        <w:jc w:val="both"/>
        <w:rPr>
          <w:b w:val="false"/>
          <w:strike w:val="false"/>
          <w:dstrike w:val="false"/>
          <w:color w:val="000000"/>
          <w:sz w:val="22"/>
          <w:u w:val="none"/>
        </w:rPr>
      </w:pPr>
      <w:r>
        <w:rPr>
          <w:b w:val="false"/>
          <w:strike w:val="false"/>
          <w:dstrike w:val="false"/>
          <w:color w:val="000000"/>
          <w:sz w:val="22"/>
          <w:u w:val="none"/>
        </w:rPr>
        <w:t xml:space="preserve">2. Umowa Główna – umowa, w związku z którą zawierana jest umowa powierzenia, tj. Umowa nr _______ z dnia _______. </w:t>
      </w:r>
    </w:p>
    <w:p>
      <w:pPr>
        <w:pStyle w:val="Default"/>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 xml:space="preserve">3. 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t>
      </w:r>
    </w:p>
    <w:p>
      <w:pPr>
        <w:pStyle w:val="Default"/>
        <w:bidi w:val="0"/>
        <w:jc w:val="left"/>
        <w:rPr>
          <w:b w:val="false"/>
          <w:strike w:val="false"/>
          <w:dstrike w:val="false"/>
          <w:color w:val="000000"/>
          <w:sz w:val="22"/>
          <w:u w:val="none"/>
        </w:rPr>
      </w:pPr>
      <w:r>
        <w:rPr>
          <w:b w:val="false"/>
          <w:strike w:val="false"/>
          <w:dstrike w:val="false"/>
          <w:color w:val="000000"/>
          <w:sz w:val="22"/>
          <w:u w:val="none"/>
        </w:rPr>
      </w:r>
    </w:p>
    <w:p>
      <w:pPr>
        <w:pStyle w:val="Default"/>
        <w:bidi w:val="0"/>
        <w:jc w:val="center"/>
        <w:rPr>
          <w:b w:val="false"/>
          <w:strike w:val="false"/>
          <w:dstrike w:val="false"/>
          <w:color w:val="000000"/>
          <w:sz w:val="22"/>
          <w:u w:val="none"/>
        </w:rPr>
      </w:pPr>
      <w:r>
        <w:rPr>
          <w:b/>
          <w:strike w:val="false"/>
          <w:dstrike w:val="false"/>
          <w:color w:val="000000"/>
          <w:sz w:val="28"/>
          <w:szCs w:val="28"/>
          <w:u w:val="none"/>
        </w:rPr>
        <w:t xml:space="preserve">§ 2 Powierzenie przetwarzania danych osobowych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1. Administrator danych powierza Podmiotowi przetwarzającemu w trybie art. 28 RODO dane osobowe do przetwarzania, na zasadach i w celu określonym w Umowie Powierzenia.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2. Podmiot przetwarzający zobowiązuje się przetwarzać powierzone mu dane osobowe zgodnie z Umową Powierzenia, RODO oraz innymi przepisami prawa powszechnie obowiązującego, które chronią prawa osób, których dane dotyczą.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3. Podmiot przetwarzający oświadcza, iż stosuje środki bezpieczeństwa spełniające wymogi powszechnie obowiązujących przepisów prawa. </w:t>
      </w:r>
    </w:p>
    <w:p>
      <w:pPr>
        <w:pStyle w:val="Default"/>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 xml:space="preserve">4. Podmiot przetwarzający może przetwarzać dane osobowe wyłącznie na podstawie udokumentowanych poleceń Administratora, przy czym za takie udokumentowane polecenia uważa się postanowienia Umowy Powierzenia oraz ewentualne inne polecenia przekazywane przez Administratora drogą elektroniczną na adres _______lub na piśmie. </w:t>
      </w:r>
    </w:p>
    <w:p>
      <w:pPr>
        <w:pStyle w:val="Default"/>
        <w:bidi w:val="0"/>
        <w:jc w:val="left"/>
        <w:rPr>
          <w:b w:val="false"/>
          <w:strike w:val="false"/>
          <w:dstrike w:val="false"/>
          <w:color w:val="000000"/>
          <w:sz w:val="22"/>
          <w:u w:val="none"/>
        </w:rPr>
      </w:pPr>
      <w:r>
        <w:rPr>
          <w:b w:val="false"/>
          <w:strike w:val="false"/>
          <w:dstrike w:val="false"/>
          <w:color w:val="000000"/>
          <w:sz w:val="22"/>
          <w:u w:val="none"/>
        </w:rPr>
      </w:r>
    </w:p>
    <w:p>
      <w:pPr>
        <w:pStyle w:val="Default"/>
        <w:bidi w:val="0"/>
        <w:jc w:val="center"/>
        <w:rPr>
          <w:b w:val="false"/>
          <w:strike w:val="false"/>
          <w:dstrike w:val="false"/>
          <w:color w:val="000000"/>
          <w:sz w:val="22"/>
          <w:u w:val="none"/>
        </w:rPr>
      </w:pPr>
      <w:r>
        <w:rPr>
          <w:b/>
          <w:strike w:val="false"/>
          <w:dstrike w:val="false"/>
          <w:color w:val="000000"/>
          <w:sz w:val="28"/>
          <w:szCs w:val="28"/>
          <w:u w:val="none"/>
        </w:rPr>
        <w:t xml:space="preserve">§ 3 Zakres, charakter i cel przetwarzania danych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1. Podmiot przetwarzający zobowiązuje się do przetwarzania danych osobowych w celu i zakresie niezbędnym do realizacji umowy </w:t>
      </w:r>
      <w:r>
        <w:rPr>
          <w:b w:val="false"/>
          <w:strike w:val="false"/>
          <w:dstrike w:val="false"/>
          <w:color w:val="000000"/>
          <w:sz w:val="22"/>
          <w:u w:val="none"/>
        </w:rPr>
        <w:t>w zakresie dostępu hurtowego do sieci zrealizowanej w ramach KPO4</w:t>
      </w:r>
    </w:p>
    <w:p>
      <w:pPr>
        <w:pStyle w:val="Default"/>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 xml:space="preserve">2. Podmiot przetwarzający zobowiązuje się do przetwarzania danych osobowych </w:t>
      </w:r>
      <w:r>
        <w:rPr>
          <w:b w:val="false"/>
          <w:strike w:val="false"/>
          <w:dstrike w:val="false"/>
          <w:color w:val="000000"/>
          <w:sz w:val="22"/>
          <w:u w:val="none"/>
        </w:rPr>
        <w:t>tylko w celu wykonania umowy głównej, w związku z którą, niniejsza umowa została zawarta.</w:t>
      </w:r>
    </w:p>
    <w:p>
      <w:pPr>
        <w:pStyle w:val="Default"/>
        <w:bidi w:val="0"/>
        <w:jc w:val="left"/>
        <w:rPr>
          <w:color w:val="000000"/>
        </w:rPr>
      </w:pPr>
      <w:r>
        <w:rPr/>
      </w:r>
    </w:p>
    <w:p>
      <w:pPr>
        <w:pStyle w:val="Default"/>
        <w:bidi w:val="0"/>
        <w:jc w:val="center"/>
        <w:rPr>
          <w:b w:val="false"/>
          <w:strike w:val="false"/>
          <w:dstrike w:val="false"/>
          <w:color w:val="000000"/>
          <w:sz w:val="22"/>
          <w:u w:val="none"/>
        </w:rPr>
      </w:pPr>
      <w:r>
        <w:rPr>
          <w:b/>
          <w:color w:val="000000"/>
          <w:sz w:val="28"/>
          <w:szCs w:val="28"/>
        </w:rPr>
        <w:t xml:space="preserve">§ 4 Obowiązki Podmiotu przetwarzającego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1. Podmiot przetwarzający zobowiązuje się przy przetwarzaniu powierzonych danych osobowych, do ich zabezpieczenia poprzez stosowanie odpowiednich środków technicznych i organizacyjnych zapewniających adekwatny stopień bezpieczeństwa odpowiadający ryzykom związanym z przetwarzaniem danych osobowych, o których mowa w art. 32 RODO.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2. Podmiot przetwarzający zobowiązuje się dołożyć należytej staranności przy przetwarzaniu powierzonych danych osobowych.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3. Podmiot przetwarzający zobowiązuje się prowadzić rejestr wszystkich kategorii czynności przetwarzania dokonywanych w imieniu Administratora danych, o którym mowa w art. 30 ust. 2 RODO i udostępniać go Administratorowi danych na jego żądanie, chyba że Podmiot przetwarzający jest zwolniony z tego obowiązku na podstawie art. 30 ust. 5 RODO.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4. Podmiot przetwarzający zobowiązuje się do nadania upoważnień do przetwarzania danych osobowych wszystkim osobom, które będą przetwarzały powierzone dane w celu realizacji Umowy Głównej.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5. Podmiot przetwarzający zobowiązuje się zapewnić zachowanie w tajemnicy, o której mowa w art. 28 ust. 3 pkt b RODO, przetwarzanych danych przez osoby, które upoważnia do przetwarzania danych osobowych w celu realizacji Umowy Głównej, zarówno w trakcie współpracy / zatrudnienia ich w Podmiocie przetwarzającym, jak i po ustaniu współpracy / zatrudnienia.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6. Podmiot przetwarzający po zakończeniu świadczenia usług związanych z przetwarzaniem, zwraca Administratorowi danych wszelkie dane osobowe, a następnie usuwa wszelkie ich istniejące kopie chyba, że prawo unii Europejskiej lub prawo krajowe nakazują przechowywanie danych osobowych.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7. W miarę możliwości Podmiot przetwarzający pomaga Administratorowi danych w niezbędnym zakresie wywiązywać się z obowiązków określonych w art. 32 – 36 RODO.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8. Podmiot przetwarzający zobowiązuje się pomagać Administratorowi poprzez odpowiednie środki techniczne i organizacyjne, w wywiązywaniu się z obowiązku odpowiadania na żądania osób, których dane dotyczą, w zakresie wykonywania ich praw określonych w art. 15 - 22 RODO. W szczególności Podmiot przetwarzający zobowiązuje się – na żądanie Administratora – do przygotowania i przekazania Administratorowi informacji potrzebnych do spełnienia żądania osoby, której dane dotyczą, w ciągu 3 dni od dnia otrzymania żądania Administratora danych.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9. Podmiot przetwarzający zobowiązuje się stosować się do ewentualnych wskazówek lub zaleceń wydanych przez Administratora danych, organ nadzoru lub unijny organ doradczy zajmujący się ochroną danych osobowych, dotyczących przetwarzania danych osobowych, w szczególności w zakresie stosowania RODO. </w:t>
      </w:r>
    </w:p>
    <w:p>
      <w:pPr>
        <w:pStyle w:val="Default"/>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 xml:space="preserve">10. Podmiot przetwarzający zobowiązuje się do niezwłocznego poinformowania Administratora danych o jakimkolwiek postępowaniu, w szczególności administracyjnym lub sądowym, dotyczącym przetwarzania powierzonych danych osobowych przez Podmiot przetwarzający, </w:t>
      </w:r>
      <w:r>
        <w:rPr>
          <w:color w:val="000000"/>
          <w:sz w:val="22"/>
        </w:rPr>
        <w:t xml:space="preserve">o jakiejkolwiek decyzji administracyjnej lub orzeczeniu dotyczącym przetwarzania powierzonych danych osobowych, skierowanych do Podmiotu przetwarzającego, a także o wszelkich kontrolach i inspekcjach dotyczących przetwarzania powierzonych danych osobowych przez Podmiot przetwarzający, w szczególności prowadzonych przez organ nadzorczy. </w:t>
      </w:r>
    </w:p>
    <w:p>
      <w:pPr>
        <w:pStyle w:val="Default"/>
        <w:bidi w:val="0"/>
        <w:spacing w:before="0" w:after="0"/>
        <w:ind w:hanging="0" w:left="0"/>
        <w:jc w:val="both"/>
        <w:rPr>
          <w:color w:val="000000"/>
          <w:sz w:val="22"/>
        </w:rPr>
      </w:pPr>
      <w:r>
        <w:rPr>
          <w:color w:val="000000"/>
          <w:sz w:val="22"/>
        </w:rPr>
        <w:t xml:space="preserve">11. W sytuacji podejrzenia naruszenia ochrony danych osobowych, Podmiot przetwarzający zobowiązuje się do: </w:t>
      </w:r>
    </w:p>
    <w:p>
      <w:pPr>
        <w:pStyle w:val="Default"/>
        <w:bidi w:val="0"/>
        <w:spacing w:before="0" w:after="62"/>
        <w:ind w:hanging="0" w:left="0"/>
        <w:jc w:val="both"/>
        <w:rPr>
          <w:color w:val="000000"/>
          <w:sz w:val="22"/>
        </w:rPr>
      </w:pPr>
      <w:r>
        <w:rPr>
          <w:color w:val="000000"/>
          <w:sz w:val="22"/>
        </w:rPr>
        <w:t xml:space="preserve">1) przekazania Administratorowi danych, drogą elektroniczną na adres </w:t>
      </w:r>
      <w:r>
        <w:rPr>
          <w:color w:val="0462C1"/>
          <w:sz w:val="22"/>
        </w:rPr>
        <w:t>iod@</w:t>
      </w:r>
      <w:r>
        <w:rPr>
          <w:color w:val="0462C1"/>
          <w:sz w:val="22"/>
        </w:rPr>
        <w:t>netsolution.pl</w:t>
      </w:r>
      <w:r>
        <w:rPr>
          <w:color w:val="000000"/>
          <w:sz w:val="22"/>
        </w:rPr>
        <w:t xml:space="preserve">, informacji dotyczących naruszenia ochrony danych osobowych w ciągu 24 godzin od jego wykrycia, w tym informacji, o których mowa w art. 33 ust. 3 RODO; </w:t>
      </w:r>
    </w:p>
    <w:p>
      <w:pPr>
        <w:pStyle w:val="Default"/>
        <w:bidi w:val="0"/>
        <w:spacing w:before="0" w:after="62"/>
        <w:ind w:hanging="0" w:left="0"/>
        <w:jc w:val="both"/>
        <w:rPr>
          <w:color w:val="000000"/>
          <w:sz w:val="22"/>
        </w:rPr>
      </w:pPr>
      <w:r>
        <w:rPr>
          <w:color w:val="000000"/>
          <w:sz w:val="22"/>
        </w:rPr>
        <w:t xml:space="preserve">2) przeprowadzenia wstępnej oceny skutków naruszenia praw i wolności osób, których dane dotyczą, i przekazania wyników tej oceny do Administratora danych w ciągu 36 godzin od wykrycia zdarzenia stanowiącego naruszenie ochrony danych osobowych; </w:t>
      </w:r>
    </w:p>
    <w:p>
      <w:pPr>
        <w:pStyle w:val="Default"/>
        <w:bidi w:val="0"/>
        <w:spacing w:before="0" w:after="0"/>
        <w:ind w:hanging="0" w:left="0"/>
        <w:jc w:val="both"/>
        <w:rPr>
          <w:color w:val="000000"/>
          <w:sz w:val="22"/>
        </w:rPr>
      </w:pPr>
      <w:r>
        <w:rPr>
          <w:color w:val="000000"/>
          <w:sz w:val="22"/>
        </w:rPr>
        <w:t xml:space="preserve">3) przekazania Administratorowi danych – na jego żądanie – wszystkich informacji niezbędnych do zawiadomienia osoby, której dane dotyczą, zgodnie z art. 34 ust. 3 RODO, w ciągu 48 godzin od wykrycia zdarzenia stanowiącego naruszenie ochrony danych osobowych. </w:t>
      </w:r>
    </w:p>
    <w:p>
      <w:pPr>
        <w:pStyle w:val="Default"/>
        <w:bidi w:val="0"/>
        <w:spacing w:before="0" w:after="0"/>
        <w:ind w:hanging="0" w:left="0"/>
        <w:jc w:val="both"/>
        <w:rPr>
          <w:color w:val="000000"/>
          <w:sz w:val="22"/>
        </w:rPr>
      </w:pPr>
      <w:r>
        <w:rPr>
          <w:color w:val="000000"/>
          <w:sz w:val="22"/>
        </w:rPr>
        <w:t xml:space="preserve">12. Podmiot przetwarzający, jak i podmiot, który przetwarza dane osobowe w oparciu o § 6 Umowy Powierzenia, jest odpowiedzialny za udostępnienie lub wykorzystanie danych osobowych niezgodnie z treścią Umowy Powierzenia, a w szczególności za udostępnienie powierzonych do przetwarzania danych osobowych osobom nieupoważnionym. </w:t>
      </w:r>
    </w:p>
    <w:p>
      <w:pPr>
        <w:pStyle w:val="Default"/>
        <w:bidi w:val="0"/>
        <w:jc w:val="center"/>
        <w:rPr>
          <w:b w:val="false"/>
          <w:strike w:val="false"/>
          <w:dstrike w:val="false"/>
          <w:color w:val="000000"/>
          <w:sz w:val="22"/>
          <w:u w:val="none"/>
        </w:rPr>
      </w:pPr>
      <w:r>
        <w:rPr>
          <w:b/>
          <w:color w:val="000000"/>
          <w:sz w:val="28"/>
          <w:szCs w:val="28"/>
        </w:rPr>
        <w:t xml:space="preserve">§ 5 Prawo kontroli </w:t>
      </w:r>
    </w:p>
    <w:p>
      <w:pPr>
        <w:pStyle w:val="Default"/>
        <w:bidi w:val="0"/>
        <w:spacing w:before="0" w:after="62"/>
        <w:ind w:hanging="0" w:left="0"/>
        <w:jc w:val="both"/>
        <w:rPr>
          <w:b w:val="false"/>
          <w:strike w:val="false"/>
          <w:dstrike w:val="false"/>
          <w:color w:val="000000"/>
          <w:sz w:val="22"/>
          <w:u w:val="none"/>
        </w:rPr>
      </w:pPr>
      <w:r>
        <w:rPr>
          <w:b w:val="false"/>
          <w:strike w:val="false"/>
          <w:dstrike w:val="false"/>
          <w:color w:val="000000"/>
          <w:sz w:val="22"/>
          <w:u w:val="none"/>
        </w:rPr>
        <w:t xml:space="preserve">1. Administrator danych jest uprawniony do weryfikacji przestrzegania zasad przetwarzania danych osobowych wynikających RODO oraz Umowy Powierzenia przez Podmiot przetwarzający, poprzez prawo żądania udzielenia wszelkich informacji dotyczących powierzonych danych osobowych, a w szczególności do wykazania spełnienia obowiązków określonych w art. 28 RODO. </w:t>
      </w:r>
    </w:p>
    <w:p>
      <w:pPr>
        <w:pStyle w:val="Default"/>
        <w:bidi w:val="0"/>
        <w:spacing w:before="0" w:after="62"/>
        <w:ind w:hanging="0" w:left="0"/>
        <w:jc w:val="both"/>
        <w:rPr>
          <w:b w:val="false"/>
          <w:strike w:val="false"/>
          <w:dstrike w:val="false"/>
          <w:color w:val="000000"/>
          <w:sz w:val="22"/>
          <w:u w:val="none"/>
        </w:rPr>
      </w:pPr>
      <w:r>
        <w:rPr>
          <w:b w:val="false"/>
          <w:strike w:val="false"/>
          <w:dstrike w:val="false"/>
          <w:color w:val="000000"/>
          <w:sz w:val="22"/>
          <w:u w:val="none"/>
        </w:rPr>
        <w:t xml:space="preserve">2. Administrator danych zgodnie z art. 28 ust. 3 lit. h RODO ma prawo kontroli, czy środki zastosowane przez Podmiot przetwarzający przy przetwarzaniu i zabezpieczeniu powierzonych danych osobowych spełniają postanowienia Umowy Powierzenia oraz są zgodne z przepisami prawa. </w:t>
      </w:r>
    </w:p>
    <w:p>
      <w:pPr>
        <w:pStyle w:val="Default"/>
        <w:bidi w:val="0"/>
        <w:spacing w:before="0" w:after="62"/>
        <w:ind w:hanging="0" w:left="0"/>
        <w:jc w:val="both"/>
        <w:rPr>
          <w:b w:val="false"/>
          <w:strike w:val="false"/>
          <w:dstrike w:val="false"/>
          <w:color w:val="000000"/>
          <w:sz w:val="22"/>
          <w:u w:val="none"/>
        </w:rPr>
      </w:pPr>
      <w:r>
        <w:rPr>
          <w:b w:val="false"/>
          <w:strike w:val="false"/>
          <w:dstrike w:val="false"/>
          <w:color w:val="000000"/>
          <w:sz w:val="22"/>
          <w:u w:val="none"/>
        </w:rPr>
        <w:t xml:space="preserve">3. Administrator danych realizować będzie prawo kontroli w godzinach pracy Podmiotu przetwarzającego i z minimum 3-dniowym jego uprzedzeniem. </w:t>
      </w:r>
    </w:p>
    <w:p>
      <w:pPr>
        <w:pStyle w:val="Default"/>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 xml:space="preserve">4. Podmiot przetwarzający zobowiązuje się do usunięcia uchybień stwierdzonych podczas kontroli w terminie wskazanym przez Administratora danych nie dłuższym, niż 7 dni. </w:t>
      </w:r>
    </w:p>
    <w:p>
      <w:pPr>
        <w:pStyle w:val="Default"/>
        <w:bidi w:val="0"/>
        <w:jc w:val="both"/>
        <w:rPr>
          <w:b w:val="false"/>
          <w:strike w:val="false"/>
          <w:dstrike w:val="false"/>
          <w:color w:val="000000"/>
          <w:sz w:val="22"/>
          <w:u w:val="none"/>
        </w:rPr>
      </w:pPr>
      <w:r>
        <w:rPr>
          <w:b w:val="false"/>
          <w:strike w:val="false"/>
          <w:dstrike w:val="false"/>
          <w:color w:val="000000"/>
          <w:sz w:val="22"/>
          <w:u w:val="none"/>
        </w:rPr>
      </w:r>
    </w:p>
    <w:p>
      <w:pPr>
        <w:pStyle w:val="Default"/>
        <w:bidi w:val="0"/>
        <w:jc w:val="center"/>
        <w:rPr>
          <w:b w:val="false"/>
          <w:strike w:val="false"/>
          <w:dstrike w:val="false"/>
          <w:color w:val="000000"/>
          <w:sz w:val="22"/>
          <w:u w:val="none"/>
        </w:rPr>
      </w:pPr>
      <w:r>
        <w:rPr>
          <w:b/>
          <w:strike w:val="false"/>
          <w:dstrike w:val="false"/>
          <w:color w:val="000000"/>
          <w:sz w:val="28"/>
          <w:szCs w:val="28"/>
          <w:u w:val="none"/>
        </w:rPr>
        <w:t xml:space="preserve">§ 6 Dalsze powierzenie danych do przetwarzania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1. Podmiot przetwarzający może powierzyć dane osobowe objęte Umową Powierzenia do dalszego przetwarzania podwykonawcom jedynie w celu wykonania Umowy Głównej, po uzyskaniu uprzedniej, pisemnej, pod rygorem nieważności, zgody Administratora danych. </w:t>
      </w:r>
    </w:p>
    <w:p>
      <w:pPr>
        <w:pStyle w:val="Default"/>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 xml:space="preserve">2. Przekazanie powierzonych danych do państwa trzeciego może nastąpić jedynie na pisemne, pod rygorem </w:t>
      </w:r>
    </w:p>
    <w:p>
      <w:pPr>
        <w:pStyle w:val="Default"/>
        <w:bidi w:val="0"/>
        <w:spacing w:before="0" w:after="0"/>
        <w:ind w:hanging="0" w:left="0"/>
        <w:jc w:val="both"/>
        <w:rPr>
          <w:color w:val="000000"/>
          <w:sz w:val="22"/>
        </w:rPr>
      </w:pPr>
      <w:r>
        <w:rPr>
          <w:color w:val="000000"/>
          <w:sz w:val="22"/>
        </w:rPr>
        <w:t xml:space="preserve">nieważności,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 </w:t>
      </w:r>
    </w:p>
    <w:p>
      <w:pPr>
        <w:pStyle w:val="Default"/>
        <w:bidi w:val="0"/>
        <w:spacing w:before="0" w:after="59"/>
        <w:ind w:hanging="0" w:left="0"/>
        <w:jc w:val="both"/>
        <w:rPr>
          <w:color w:val="000000"/>
          <w:sz w:val="22"/>
        </w:rPr>
      </w:pPr>
      <w:r>
        <w:rPr>
          <w:color w:val="000000"/>
          <w:sz w:val="22"/>
        </w:rPr>
        <w:t xml:space="preserve">3. Podmiot przetwarzający dane osobowe w oparciu o niniejszy paragraf winien spełniać te same gwarancje i obowiązki, jakie zostały nałożone na Podmiot przetwarzający w Umowie Powierzenia. </w:t>
      </w:r>
    </w:p>
    <w:p>
      <w:pPr>
        <w:pStyle w:val="Default"/>
        <w:bidi w:val="0"/>
        <w:spacing w:before="0" w:after="59"/>
        <w:ind w:hanging="0" w:left="0"/>
        <w:jc w:val="both"/>
        <w:rPr>
          <w:color w:val="000000"/>
          <w:sz w:val="22"/>
        </w:rPr>
      </w:pPr>
      <w:r>
        <w:rPr>
          <w:color w:val="000000"/>
          <w:sz w:val="22"/>
        </w:rPr>
        <w:t xml:space="preserve">4. Administratorowi danych będą przysługiwały uprawnienia wynikające z umowy podpowierzenia bezpośrednio wobec podwykonawcy (subprocesora). W przypadku wypowiedzenia lub rozwiązania umowy podpowierzenia, Podmiot przetwarzający poinformuje o tym fakcie Administratora danych w terminie 3 dni od wypowiedzenia lub rozwiązania umowy. </w:t>
      </w:r>
    </w:p>
    <w:p>
      <w:pPr>
        <w:pStyle w:val="Default"/>
        <w:bidi w:val="0"/>
        <w:spacing w:before="0" w:after="0"/>
        <w:ind w:hanging="0" w:left="0"/>
        <w:jc w:val="both"/>
        <w:rPr>
          <w:color w:val="000000"/>
          <w:sz w:val="22"/>
        </w:rPr>
      </w:pPr>
      <w:r>
        <w:rPr>
          <w:color w:val="000000"/>
          <w:sz w:val="22"/>
        </w:rPr>
        <w:t xml:space="preserve">5. Jeżeli Podprzetwarzający nie wywiąże się ze spoczywających na nim obowiązków ochrony danych osobowych, pełna odpowiedzialność wobec Administratora danych za wypełnienie obowiązków przez Podprzetwarzającego spoczywa na Podmiocie przetwarzającym. </w:t>
      </w:r>
    </w:p>
    <w:p>
      <w:pPr>
        <w:pStyle w:val="Default"/>
        <w:bidi w:val="0"/>
        <w:jc w:val="both"/>
        <w:rPr>
          <w:b w:val="false"/>
          <w:strike w:val="false"/>
          <w:dstrike w:val="false"/>
          <w:color w:val="000000"/>
          <w:sz w:val="22"/>
          <w:u w:val="none"/>
        </w:rPr>
      </w:pPr>
      <w:r>
        <w:rPr>
          <w:sz w:val="28"/>
          <w:szCs w:val="28"/>
        </w:rPr>
      </w:r>
    </w:p>
    <w:p>
      <w:pPr>
        <w:pStyle w:val="Default"/>
        <w:bidi w:val="0"/>
        <w:jc w:val="center"/>
        <w:rPr>
          <w:b w:val="false"/>
          <w:strike w:val="false"/>
          <w:dstrike w:val="false"/>
          <w:color w:val="000000"/>
          <w:sz w:val="22"/>
          <w:u w:val="none"/>
        </w:rPr>
      </w:pPr>
      <w:r>
        <w:rPr>
          <w:b/>
          <w:color w:val="000000"/>
          <w:sz w:val="28"/>
          <w:szCs w:val="28"/>
        </w:rPr>
        <w:t xml:space="preserve">§ 7 Czas obowiązywania umowy </w:t>
      </w:r>
    </w:p>
    <w:p>
      <w:pPr>
        <w:pStyle w:val="Default"/>
        <w:bidi w:val="0"/>
        <w:jc w:val="both"/>
        <w:rPr>
          <w:b w:val="false"/>
          <w:strike w:val="false"/>
          <w:dstrike w:val="false"/>
          <w:color w:val="000000"/>
          <w:sz w:val="22"/>
          <w:u w:val="none"/>
        </w:rPr>
      </w:pPr>
      <w:r>
        <w:rPr>
          <w:b w:val="false"/>
          <w:strike w:val="false"/>
          <w:dstrike w:val="false"/>
          <w:color w:val="000000"/>
          <w:sz w:val="22"/>
          <w:u w:val="none"/>
        </w:rPr>
        <w:t xml:space="preserve">Umowa Powierzenia obowiązuje przez okres obowiązywania Umowy Głównej. </w:t>
      </w:r>
    </w:p>
    <w:p>
      <w:pPr>
        <w:pStyle w:val="Default"/>
        <w:bidi w:val="0"/>
        <w:jc w:val="both"/>
        <w:rPr>
          <w:b w:val="false"/>
          <w:strike w:val="false"/>
          <w:dstrike w:val="false"/>
          <w:color w:val="000000"/>
          <w:sz w:val="22"/>
          <w:u w:val="none"/>
        </w:rPr>
      </w:pPr>
      <w:r>
        <w:rPr/>
      </w:r>
    </w:p>
    <w:p>
      <w:pPr>
        <w:pStyle w:val="Default"/>
        <w:bidi w:val="0"/>
        <w:jc w:val="center"/>
        <w:rPr>
          <w:b w:val="false"/>
          <w:strike w:val="false"/>
          <w:dstrike w:val="false"/>
          <w:color w:val="000000"/>
          <w:sz w:val="22"/>
          <w:u w:val="none"/>
        </w:rPr>
      </w:pPr>
      <w:r>
        <w:rPr>
          <w:b/>
          <w:strike w:val="false"/>
          <w:dstrike w:val="false"/>
          <w:color w:val="000000"/>
          <w:sz w:val="28"/>
          <w:szCs w:val="28"/>
          <w:u w:val="none"/>
        </w:rPr>
        <w:t xml:space="preserve">§ 8 Rozwiązanie umowy </w:t>
      </w:r>
    </w:p>
    <w:p>
      <w:pPr>
        <w:pStyle w:val="Default"/>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 xml:space="preserve">1. Administrator danych może rozwiązać niniejszą Umowę Powierzenia ze skutkiem natychmiastowym, gdy Podmiot przetwarzający: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1) pomimo zobowiązania go do usunięcia uchybień stwierdzonych podczas kontroli, nie usunie ich w wyznaczonym terminie; </w:t>
      </w:r>
    </w:p>
    <w:p>
      <w:pPr>
        <w:pStyle w:val="Default"/>
        <w:bidi w:val="0"/>
        <w:spacing w:before="0" w:after="59"/>
        <w:ind w:hanging="0" w:left="0"/>
        <w:jc w:val="both"/>
        <w:rPr>
          <w:b w:val="false"/>
          <w:strike w:val="false"/>
          <w:dstrike w:val="false"/>
          <w:color w:val="000000"/>
          <w:sz w:val="22"/>
          <w:u w:val="none"/>
        </w:rPr>
      </w:pPr>
      <w:r>
        <w:rPr>
          <w:b w:val="false"/>
          <w:strike w:val="false"/>
          <w:dstrike w:val="false"/>
          <w:color w:val="000000"/>
          <w:sz w:val="22"/>
          <w:u w:val="none"/>
        </w:rPr>
        <w:t xml:space="preserve">2) przetwarza dane osobowe w sposób niezgodny z Umową Powierzenia oraz obowiązującymi przepisami prawa; </w:t>
      </w:r>
    </w:p>
    <w:p>
      <w:pPr>
        <w:pStyle w:val="Default"/>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 xml:space="preserve">3) powierzył przetwarzanie danych osobowych innemu podmiotowi bez uprzedniej pisemnej zgody Administratora danych; </w:t>
      </w:r>
    </w:p>
    <w:p>
      <w:pPr>
        <w:pStyle w:val="Default"/>
        <w:bidi w:val="0"/>
        <w:jc w:val="both"/>
        <w:rPr>
          <w:b w:val="false"/>
          <w:strike w:val="false"/>
          <w:dstrike w:val="false"/>
          <w:color w:val="000000"/>
          <w:sz w:val="22"/>
          <w:u w:val="none"/>
        </w:rPr>
      </w:pPr>
      <w:r>
        <w:rPr>
          <w:b w:val="false"/>
          <w:strike w:val="false"/>
          <w:dstrike w:val="false"/>
          <w:color w:val="000000"/>
          <w:sz w:val="22"/>
          <w:u w:val="none"/>
        </w:rPr>
      </w:r>
    </w:p>
    <w:p>
      <w:pPr>
        <w:pStyle w:val="Default"/>
        <w:bidi w:val="0"/>
        <w:jc w:val="center"/>
        <w:rPr>
          <w:b w:val="false"/>
          <w:strike w:val="false"/>
          <w:dstrike w:val="false"/>
          <w:color w:val="000000"/>
          <w:sz w:val="22"/>
          <w:u w:val="none"/>
        </w:rPr>
      </w:pPr>
      <w:r>
        <w:rPr>
          <w:b/>
          <w:strike w:val="false"/>
          <w:dstrike w:val="false"/>
          <w:color w:val="000000"/>
          <w:sz w:val="28"/>
          <w:szCs w:val="28"/>
          <w:u w:val="none"/>
        </w:rPr>
        <w:t xml:space="preserve">§ 9 Postanowienia końcowe </w:t>
      </w:r>
    </w:p>
    <w:p>
      <w:pPr>
        <w:pStyle w:val="Default"/>
        <w:bidi w:val="0"/>
        <w:spacing w:before="0" w:after="62"/>
        <w:ind w:hanging="0" w:left="0"/>
        <w:jc w:val="both"/>
        <w:rPr>
          <w:b w:val="false"/>
          <w:strike w:val="false"/>
          <w:dstrike w:val="false"/>
          <w:color w:val="000000"/>
          <w:sz w:val="22"/>
          <w:u w:val="none"/>
        </w:rPr>
      </w:pPr>
      <w:r>
        <w:rPr>
          <w:b w:val="false"/>
          <w:strike w:val="false"/>
          <w:dstrike w:val="false"/>
          <w:color w:val="000000"/>
          <w:sz w:val="22"/>
          <w:u w:val="none"/>
        </w:rPr>
        <w:t xml:space="preserve">1. W sprawach nieuregulowanych zastosowanie będą miały przepisy powszechnie obowiązujące, w tym Kodeks cywilny oraz RODO. </w:t>
      </w:r>
    </w:p>
    <w:p>
      <w:pPr>
        <w:pStyle w:val="Default"/>
        <w:bidi w:val="0"/>
        <w:spacing w:before="0" w:after="62"/>
        <w:ind w:hanging="0" w:left="0"/>
        <w:jc w:val="both"/>
        <w:rPr>
          <w:b w:val="false"/>
          <w:strike w:val="false"/>
          <w:dstrike w:val="false"/>
          <w:color w:val="000000"/>
          <w:sz w:val="22"/>
          <w:u w:val="none"/>
        </w:rPr>
      </w:pPr>
      <w:r>
        <w:rPr>
          <w:b w:val="false"/>
          <w:strike w:val="false"/>
          <w:dstrike w:val="false"/>
          <w:color w:val="000000"/>
          <w:sz w:val="22"/>
          <w:u w:val="none"/>
        </w:rPr>
        <w:t xml:space="preserve">2. Sądem właściwym dla rozpatrzenia sporów wynikających z Umowy Powierzenia będzie sąd właściwy dla Administratora danych. </w:t>
      </w:r>
    </w:p>
    <w:p>
      <w:pPr>
        <w:pStyle w:val="Default"/>
        <w:bidi w:val="0"/>
        <w:spacing w:before="0" w:after="62"/>
        <w:ind w:hanging="0" w:left="0"/>
        <w:jc w:val="both"/>
        <w:rPr>
          <w:b w:val="false"/>
          <w:strike w:val="false"/>
          <w:dstrike w:val="false"/>
          <w:color w:val="000000"/>
          <w:sz w:val="22"/>
          <w:u w:val="none"/>
        </w:rPr>
      </w:pPr>
      <w:r>
        <w:rPr>
          <w:b w:val="false"/>
          <w:strike w:val="false"/>
          <w:dstrike w:val="false"/>
          <w:color w:val="000000"/>
          <w:sz w:val="22"/>
          <w:u w:val="none"/>
        </w:rPr>
        <w:t xml:space="preserve">3. Wszelkie zmiany Umowy Powierzenia wymagają zachowania formy pisemnej pod rygorem nieważności. </w:t>
      </w:r>
    </w:p>
    <w:p>
      <w:pPr>
        <w:pStyle w:val="Default"/>
        <w:bidi w:val="0"/>
        <w:spacing w:before="0" w:after="62"/>
        <w:ind w:hanging="0" w:left="0"/>
        <w:jc w:val="both"/>
        <w:rPr>
          <w:b w:val="false"/>
          <w:strike w:val="false"/>
          <w:dstrike w:val="false"/>
          <w:color w:val="000000"/>
          <w:sz w:val="22"/>
          <w:u w:val="none"/>
        </w:rPr>
      </w:pPr>
      <w:r>
        <w:rPr>
          <w:b w:val="false"/>
          <w:strike w:val="false"/>
          <w:dstrike w:val="false"/>
          <w:color w:val="000000"/>
          <w:sz w:val="22"/>
          <w:u w:val="none"/>
        </w:rPr>
        <w:t xml:space="preserve">4. Strony zgodnie potwierdzają, że Umowa Powierzenia wiąże od dnia ……………. r. </w:t>
      </w:r>
    </w:p>
    <w:p>
      <w:pPr>
        <w:pStyle w:val="Default"/>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 xml:space="preserve">5. Umowa została sporządzona w trzech jednobrzmiących egzemplarzach, w tym dwa dla Administratora danych oraz jeden dla Podmiotu przetwarzającego. </w:t>
      </w:r>
    </w:p>
    <w:p>
      <w:pPr>
        <w:pStyle w:val="Default"/>
        <w:bidi w:val="0"/>
        <w:jc w:val="both"/>
        <w:rPr>
          <w:b w:val="false"/>
          <w:strike w:val="false"/>
          <w:dstrike w:val="false"/>
          <w:color w:val="000000"/>
          <w:sz w:val="22"/>
          <w:u w:val="none"/>
        </w:rPr>
      </w:pPr>
      <w:r>
        <w:rPr>
          <w:b w:val="false"/>
          <w:strike w:val="false"/>
          <w:dstrike w:val="false"/>
          <w:color w:val="000000"/>
          <w:sz w:val="22"/>
          <w:u w:val="none"/>
        </w:rPr>
      </w:r>
    </w:p>
    <w:p>
      <w:pPr>
        <w:pStyle w:val="Default"/>
        <w:bidi w:val="0"/>
        <w:spacing w:before="0" w:after="0"/>
        <w:ind w:hanging="0" w:left="0"/>
        <w:jc w:val="both"/>
        <w:rPr>
          <w:color w:val="000000"/>
          <w:sz w:val="22"/>
        </w:rPr>
      </w:pPr>
      <w:r>
        <w:rPr>
          <w:b w:val="false"/>
          <w:strike w:val="false"/>
          <w:dstrike w:val="false"/>
          <w:color w:val="000000"/>
          <w:sz w:val="22"/>
          <w:u w:val="none"/>
        </w:rPr>
        <w:tab/>
        <w:t>……………………………………</w:t>
        <w:tab/>
        <w:tab/>
        <w:tab/>
        <w:t xml:space="preserve"> …………………………………… </w:t>
      </w:r>
      <w:r>
        <w:rPr>
          <w:color w:val="000000"/>
          <w:sz w:val="22"/>
        </w:rPr>
        <w:t xml:space="preserve"> </w:t>
      </w:r>
    </w:p>
    <w:p>
      <w:pPr>
        <w:pStyle w:val="Normal"/>
        <w:bidi w:val="0"/>
        <w:spacing w:before="0" w:after="0"/>
        <w:ind w:hanging="0" w:left="0"/>
        <w:jc w:val="both"/>
        <w:rPr>
          <w:b w:val="false"/>
          <w:strike w:val="false"/>
          <w:dstrike w:val="false"/>
          <w:color w:val="000000"/>
          <w:sz w:val="22"/>
          <w:u w:val="none"/>
        </w:rPr>
      </w:pPr>
      <w:r>
        <w:rPr>
          <w:b w:val="false"/>
          <w:strike w:val="false"/>
          <w:dstrike w:val="false"/>
          <w:color w:val="000000"/>
          <w:sz w:val="22"/>
          <w:u w:val="none"/>
        </w:rPr>
        <w:tab/>
        <w:tab/>
      </w:r>
      <w:r>
        <w:rPr>
          <w:b w:val="false"/>
          <w:strike w:val="false"/>
          <w:dstrike w:val="false"/>
          <w:color w:val="000000"/>
          <w:sz w:val="22"/>
          <w:u w:val="none"/>
        </w:rPr>
        <w:t>Administrator danych</w:t>
        <w:tab/>
        <w:tab/>
        <w:tab/>
        <w:tab/>
        <w:tab/>
        <w:t>Podmiot przetwarzający</w:t>
      </w:r>
    </w:p>
    <w:p>
      <w:pPr>
        <w:pStyle w:val="Normal"/>
        <w:bidi w:val="0"/>
        <w:jc w:val="both"/>
        <w:rPr/>
      </w:pPr>
      <w:r>
        <w:rPr/>
      </w:r>
    </w:p>
    <w:sectPr>
      <w:type w:val="nextPage"/>
      <w:pgSz w:w="11906" w:h="16838"/>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9"/>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kern w:val="2"/>
        <w:sz w:val="24"/>
        <w:szCs w:val="24"/>
        <w:lang w:val="pl-P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Unicode MS"/>
      <w:color w:val="auto"/>
      <w:kern w:val="2"/>
      <w:sz w:val="24"/>
      <w:szCs w:val="24"/>
      <w:lang w:val="pl-PL" w:eastAsia="zh-CN" w:bidi="hi-IN"/>
    </w:rPr>
  </w:style>
  <w:style w:type="character" w:styleId="Emphasis">
    <w:name w:val="Emphasis"/>
    <w:qFormat/>
    <w:rPr>
      <w:i/>
      <w:iCs/>
    </w:rPr>
  </w:style>
  <w:style w:type="paragraph" w:styleId="Nagwek">
    <w:name w:val="Nagłówek"/>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ks">
    <w:name w:val="Indeks"/>
    <w:basedOn w:val="Normal"/>
    <w:qFormat/>
    <w:pPr>
      <w:suppressLineNumbers/>
    </w:pPr>
    <w:rPr>
      <w:rFonts w:cs="Arial Unicode MS"/>
    </w:rPr>
  </w:style>
  <w:style w:type="paragraph" w:styleId="Default">
    <w:name w:val="Default"/>
    <w:qFormat/>
    <w:pPr>
      <w:widowControl/>
      <w:bidi w:val="0"/>
      <w:jc w:val="left"/>
    </w:pPr>
    <w:rPr>
      <w:rFonts w:ascii="Times New Roman" w:hAnsi="Times New Roman" w:eastAsia="NSimSun" w:cs="Arial Unicode MS"/>
      <w:color w:val="000000"/>
      <w:kern w:val="2"/>
      <w:sz w:val="24"/>
      <w:szCs w:val="24"/>
      <w:lang w:val="pl-PL"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TotalTime>
  <Application>LibreOffice/7.6.2.1$Windows_X86_64 LibreOffice_project/56f7684011345957bbf33a7ee678afaf4d2ba333</Application>
  <AppVersion>15.0000</AppVersion>
  <Pages>3</Pages>
  <Words>1355</Words>
  <Characters>9212</Characters>
  <CharactersWithSpaces>10595</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2024-02-09T13:44:00Z</dcterms:created>
  <dc:creator>Dariusz Bogucki</dc:creator>
  <dc:description/>
  <dc:language>pl-PL</dc:language>
  <cp:lastModifiedBy/>
  <dcterms:modified xsi:type="dcterms:W3CDTF">2026-06-29T13:05:54Z</dcterms:modified>
  <cp:revision>1</cp:revision>
  <dc:subject/>
  <dc:title/>
</cp:coreProperties>
</file>